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25"/>
        <w:tblW w:w="0" w:type="auto"/>
        <w:tblLook w:val="01E0" w:firstRow="1" w:lastRow="1" w:firstColumn="1" w:lastColumn="1" w:noHBand="0" w:noVBand="0"/>
      </w:tblPr>
      <w:tblGrid>
        <w:gridCol w:w="9759"/>
      </w:tblGrid>
      <w:tr>
        <w:tc>
          <w:tcPr>
            <w:tcW w:w="9759" w:type="dxa"/>
          </w:tcPr>
          <w:p>
            <w:pPr>
              <w:widowControl w:val="0"/>
              <w:tabs>
                <w:tab w:val="center" w:pos="5131"/>
              </w:tabs>
              <w:autoSpaceDE w:val="0"/>
              <w:autoSpaceDN w:val="0"/>
              <w:adjustRightInd w:val="0"/>
              <w:ind w:left="-851" w:right="-568" w:firstLine="15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8950" cy="531495"/>
                  <wp:effectExtent l="19050" t="0" r="635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3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ГОРОДСКОГО ПОСЕЛЕНИЯ ГОРОД КАЛАЧ</w:t>
            </w:r>
          </w:p>
          <w:p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КАЛАЧЕЕВСКОГО МУНИЦИПАЛЬНОГО РАЙОНА</w:t>
            </w:r>
          </w:p>
          <w:p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ВОРОНЕЖСКОЙ ОБЛАСТИ</w:t>
            </w:r>
          </w:p>
          <w:p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28"/>
                <w:szCs w:val="28"/>
              </w:rPr>
              <w:t>РАСПОРЯЖЕНИЕ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 ___» ____________ 2017 г.                                                                № _____          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г. Калач </w:t>
            </w:r>
          </w:p>
        </w:tc>
      </w:tr>
    </w:tbl>
    <w:p>
      <w:pPr>
        <w:tabs>
          <w:tab w:val="right" w:pos="10206"/>
        </w:tabs>
        <w:ind w:right="4818"/>
        <w:rPr>
          <w:rFonts w:ascii="Times New Roman" w:hAnsi="Times New Roman" w:cs="Times New Roman"/>
          <w:sz w:val="28"/>
          <w:szCs w:val="28"/>
          <w:lang w:eastAsia="en-US"/>
        </w:rPr>
      </w:pPr>
    </w:p>
    <w:p>
      <w:pPr>
        <w:tabs>
          <w:tab w:val="right" w:pos="10206"/>
        </w:tabs>
        <w:ind w:right="3968"/>
        <w:jc w:val="both"/>
        <w:rPr>
          <w:rFonts w:ascii="Times New Roman" w:hAnsi="Times New Roman" w:cs="Times New Roman"/>
          <w:b/>
          <w:sz w:val="27"/>
          <w:szCs w:val="27"/>
        </w:rPr>
      </w:pPr>
    </w:p>
    <w:p>
      <w:pPr>
        <w:tabs>
          <w:tab w:val="right" w:pos="10206"/>
        </w:tabs>
        <w:ind w:right="3968"/>
        <w:jc w:val="both"/>
        <w:rPr>
          <w:rFonts w:ascii="Times New Roman" w:hAnsi="Times New Roman" w:cs="Times New Roman"/>
          <w:b/>
          <w:sz w:val="27"/>
          <w:szCs w:val="27"/>
        </w:rPr>
      </w:pPr>
    </w:p>
    <w:p>
      <w:pPr>
        <w:tabs>
          <w:tab w:val="right" w:pos="10206"/>
        </w:tabs>
        <w:ind w:right="3968"/>
        <w:jc w:val="both"/>
        <w:rPr>
          <w:rFonts w:ascii="Times New Roman" w:hAnsi="Times New Roman" w:cs="Times New Roman"/>
          <w:b/>
          <w:sz w:val="27"/>
          <w:szCs w:val="27"/>
        </w:rPr>
      </w:pPr>
    </w:p>
    <w:p>
      <w:pPr>
        <w:tabs>
          <w:tab w:val="right" w:pos="10206"/>
        </w:tabs>
        <w:ind w:right="3968"/>
        <w:jc w:val="both"/>
        <w:rPr>
          <w:rFonts w:ascii="Times New Roman" w:hAnsi="Times New Roman" w:cs="Times New Roman"/>
          <w:b/>
          <w:sz w:val="27"/>
          <w:szCs w:val="27"/>
        </w:rPr>
      </w:pPr>
    </w:p>
    <w:p>
      <w:pPr>
        <w:tabs>
          <w:tab w:val="right" w:pos="10206"/>
        </w:tabs>
        <w:ind w:right="3968"/>
        <w:jc w:val="both"/>
        <w:rPr>
          <w:rFonts w:ascii="Times New Roman" w:hAnsi="Times New Roman" w:cs="Times New Roman"/>
          <w:b/>
          <w:sz w:val="27"/>
          <w:szCs w:val="27"/>
        </w:rPr>
      </w:pPr>
    </w:p>
    <w:p>
      <w:pPr>
        <w:tabs>
          <w:tab w:val="right" w:pos="10206"/>
        </w:tabs>
        <w:ind w:right="3968"/>
        <w:jc w:val="both"/>
        <w:rPr>
          <w:rFonts w:ascii="Times New Roman" w:hAnsi="Times New Roman" w:cs="Times New Roman"/>
          <w:b/>
          <w:sz w:val="27"/>
          <w:szCs w:val="27"/>
        </w:rPr>
      </w:pPr>
    </w:p>
    <w:p>
      <w:pPr>
        <w:tabs>
          <w:tab w:val="right" w:pos="10206"/>
        </w:tabs>
        <w:ind w:right="3968"/>
        <w:jc w:val="both"/>
        <w:rPr>
          <w:rFonts w:ascii="Times New Roman" w:hAnsi="Times New Roman" w:cs="Times New Roman"/>
          <w:b/>
          <w:sz w:val="27"/>
          <w:szCs w:val="27"/>
        </w:rPr>
      </w:pPr>
    </w:p>
    <w:p>
      <w:pPr>
        <w:tabs>
          <w:tab w:val="right" w:pos="10206"/>
        </w:tabs>
        <w:ind w:right="3968"/>
        <w:jc w:val="both"/>
        <w:rPr>
          <w:rFonts w:ascii="Times New Roman" w:hAnsi="Times New Roman" w:cs="Times New Roman"/>
          <w:b/>
          <w:sz w:val="27"/>
          <w:szCs w:val="27"/>
        </w:rPr>
      </w:pPr>
    </w:p>
    <w:p>
      <w:pPr>
        <w:tabs>
          <w:tab w:val="right" w:pos="10206"/>
        </w:tabs>
        <w:ind w:right="3968"/>
        <w:jc w:val="both"/>
        <w:rPr>
          <w:rFonts w:ascii="Times New Roman" w:hAnsi="Times New Roman" w:cs="Times New Roman"/>
          <w:b/>
          <w:sz w:val="27"/>
          <w:szCs w:val="27"/>
        </w:rPr>
      </w:pPr>
    </w:p>
    <w:p>
      <w:pPr>
        <w:tabs>
          <w:tab w:val="right" w:pos="10206"/>
        </w:tabs>
        <w:ind w:right="3968"/>
        <w:jc w:val="both"/>
        <w:rPr>
          <w:rFonts w:ascii="Times New Roman" w:hAnsi="Times New Roman" w:cs="Times New Roman"/>
          <w:b/>
          <w:sz w:val="27"/>
          <w:szCs w:val="27"/>
        </w:rPr>
      </w:pPr>
    </w:p>
    <w:p>
      <w:pPr>
        <w:tabs>
          <w:tab w:val="right" w:pos="10206"/>
        </w:tabs>
        <w:ind w:right="3968"/>
        <w:jc w:val="both"/>
        <w:rPr>
          <w:rFonts w:ascii="Times New Roman" w:hAnsi="Times New Roman" w:cs="Times New Roman"/>
          <w:b/>
          <w:sz w:val="27"/>
          <w:szCs w:val="27"/>
        </w:rPr>
      </w:pPr>
    </w:p>
    <w:p>
      <w:pPr>
        <w:tabs>
          <w:tab w:val="right" w:pos="10206"/>
        </w:tabs>
        <w:ind w:right="3968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7"/>
          <w:szCs w:val="27"/>
        </w:rPr>
        <w:t xml:space="preserve">Об утверждении  технологической схемы предоставления муниципальной услуги «Предоставление порубочного билета и (или) разрешения на пересадку деревьев и кустарников» </w:t>
      </w:r>
    </w:p>
    <w:p>
      <w:pPr>
        <w:tabs>
          <w:tab w:val="right" w:pos="990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городского поселения город Калач Калачеевского муниципального района Воронежской области, в целях обеспечения межведомственного взаимодействия </w:t>
      </w:r>
      <w:proofErr w:type="gramStart"/>
      <w:r>
        <w:rPr>
          <w:rFonts w:ascii="Times New Roman" w:hAnsi="Times New Roman" w:cs="Times New Roman"/>
          <w:sz w:val="27"/>
          <w:szCs w:val="27"/>
        </w:rPr>
        <w:t>с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АУ « МФЦ»:</w:t>
      </w:r>
    </w:p>
    <w:p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Утвердить технологическую схему предоставления муниципальной услуги «Предоставление порубочного билета и (или) разрешения на пересадку деревьев и кустарников» согласно приложению.</w:t>
      </w:r>
    </w:p>
    <w:p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технологическую схему предоставления муниципальной услуги «Предоставление порубочного билета и (или) разрешения на пересадку деревьев и кустарников» в сети Интернет на  официальном сайте администрации городского поселения город Калач Калачеевского муниципального района Воронежской области.</w:t>
      </w:r>
    </w:p>
    <w:p>
      <w:pPr>
        <w:pStyle w:val="a3"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3. Контроль исполнения настоящего распоряжения оставляю за собой.</w:t>
      </w:r>
    </w:p>
    <w:p>
      <w:pPr>
        <w:pStyle w:val="a3"/>
        <w:tabs>
          <w:tab w:val="right" w:pos="9900"/>
        </w:tabs>
        <w:ind w:left="568"/>
        <w:rPr>
          <w:sz w:val="27"/>
          <w:szCs w:val="27"/>
        </w:rPr>
      </w:pPr>
    </w:p>
    <w:p>
      <w:pPr>
        <w:tabs>
          <w:tab w:val="right" w:pos="9900"/>
        </w:tabs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Глава администрации</w:t>
      </w:r>
    </w:p>
    <w:p>
      <w:pPr>
        <w:tabs>
          <w:tab w:val="right" w:pos="10206"/>
        </w:tabs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городского поселения город Калач                                   Т.В. Мирошникова                             </w:t>
      </w:r>
    </w:p>
    <w:p>
      <w:pPr>
        <w:tabs>
          <w:tab w:val="left" w:pos="4170"/>
        </w:tabs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tabs>
          <w:tab w:val="left" w:pos="4170"/>
        </w:tabs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tabs>
          <w:tab w:val="left" w:pos="4170"/>
        </w:tabs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</w:t>
      </w: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распоряжению администрации городского поселения </w:t>
      </w: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город Калач Калачеевского муниципального </w:t>
      </w: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района Воронежской области</w:t>
      </w: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   16.10.2017  г. № 224</w:t>
      </w: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Технологическая схема предоставления муниципальной услуги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«Предоставление порубочного билета и (или) разрешения на пересадку деревьев и кустарников»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Раздел 1 «Общие сведения о муниципальной услуге»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52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2410"/>
        <w:gridCol w:w="12380"/>
        <w:gridCol w:w="142"/>
      </w:tblGrid>
      <w:tr>
        <w:trPr>
          <w:gridAfter w:val="1"/>
          <w:wAfter w:w="14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1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параметра/состояние</w:t>
            </w:r>
          </w:p>
        </w:tc>
      </w:tr>
      <w:t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12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городского поселения город Калач Калачеевского муниципального района Воронежской области.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 МФЦ – в части приема и (или) выдачи документов на предоставление муниципальной услуги</w:t>
            </w:r>
          </w:p>
        </w:tc>
      </w:tr>
      <w:t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Номер услуги в федеральном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реестре</w:t>
            </w:r>
            <w:proofErr w:type="gramEnd"/>
          </w:p>
        </w:tc>
        <w:tc>
          <w:tcPr>
            <w:tcW w:w="12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3640100010001248937</w:t>
            </w:r>
          </w:p>
        </w:tc>
      </w:tr>
      <w:t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12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порубочного билета и (или) разрешения на пересадку деревьев и кустарников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12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12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 постановлением администрации городского поселения город калач Калачеевского муниципального района Воронежской области  от 30.05.2016 г. № 220 « Об утверждении административного регламента по предоставлению администрацией городского поселения город Калач Калачеевского муниципального района Воронежской области  муниципальной  услуги «Предоставление порубочного билета и (или) разрешения на пересадку деревьев и кустарников»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подуслуг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Выдача порубочного билета.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Выдача разрешения на пересадку деревьев и кустарников.</w:t>
            </w:r>
          </w:p>
        </w:tc>
      </w:tr>
      <w:t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Способы оценки качества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предоставления муниципальной услуги</w:t>
            </w:r>
          </w:p>
        </w:tc>
        <w:tc>
          <w:tcPr>
            <w:tcW w:w="12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терминальные устройства в МФЦ;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единый портал государственных услуг;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 </w:t>
      </w:r>
    </w:p>
    <w:p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>
      <w:pPr>
        <w:tabs>
          <w:tab w:val="left" w:pos="4170"/>
        </w:tabs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tabs>
          <w:tab w:val="left" w:pos="4170"/>
        </w:tabs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tabs>
          <w:tab w:val="left" w:pos="4170"/>
        </w:tabs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tabs>
          <w:tab w:val="left" w:pos="4170"/>
        </w:tabs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tabs>
          <w:tab w:val="left" w:pos="417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РАЗДЕЛ 2 «ОБЩИЕ СВЕДЕНИЯ О «ПОДУСЛУГАХ»</w:t>
      </w:r>
    </w:p>
    <w:tbl>
      <w:tblPr>
        <w:tblpPr w:leftFromText="180" w:rightFromText="180" w:vertAnchor="text" w:horzAnchor="margin" w:tblpY="367"/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218"/>
        <w:gridCol w:w="1361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>
        <w:trPr>
          <w:trHeight w:hRule="exact" w:val="862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Основания отказа 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Основания отказа 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>
        <w:trPr>
          <w:trHeight w:hRule="exact" w:val="3829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hRule="exact" w:val="283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>
      <w:pPr>
        <w:tabs>
          <w:tab w:val="left" w:pos="5610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367"/>
        <w:tblW w:w="516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1187"/>
        <w:gridCol w:w="1274"/>
        <w:gridCol w:w="807"/>
        <w:gridCol w:w="1744"/>
        <w:gridCol w:w="3761"/>
        <w:gridCol w:w="837"/>
        <w:gridCol w:w="681"/>
        <w:gridCol w:w="681"/>
        <w:gridCol w:w="675"/>
        <w:gridCol w:w="536"/>
        <w:gridCol w:w="1193"/>
        <w:gridCol w:w="1304"/>
      </w:tblGrid>
      <w:tr>
        <w:trPr>
          <w:cantSplit/>
          <w:trHeight w:hRule="exact" w:val="4262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порубочного билета и (или) разрешения на пересадку деревьев и кустарников. </w:t>
            </w:r>
          </w:p>
          <w:p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должен превышать 30 дней со дня поступления заявления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должен превышать 30 дней со дня поступления заявления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>
            <w:pPr>
              <w:spacing w:after="100" w:afterAutospacing="1"/>
              <w:ind w:left="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-подача заявления лицом, не уполномоченным совершать такого рода действия.</w:t>
            </w:r>
          </w:p>
          <w:p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ind w:left="-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несоответствие документов или сведений в них содержащихся фактическим обстоятельствам;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-возможность сохранения или пересадки насаждений, выявленная при их обследовании;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-несоответствие обрезки, пересадки сезонности работ, видовым биологическим особенностям насаждений;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-заявление затрагивает вопросы, которые не входят в компетенцию  органа местного самоуправления;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-не подтверждение платежа.</w:t>
            </w:r>
          </w:p>
          <w:p>
            <w:pPr>
              <w:spacing w:after="100" w:afterAutospacing="1"/>
              <w:ind w:left="-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лично; </w:t>
            </w:r>
          </w:p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по почте;</w:t>
            </w:r>
          </w:p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полномочного представителя;</w:t>
            </w:r>
          </w:p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МФЦ;</w:t>
            </w:r>
          </w:p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лично; </w:t>
            </w:r>
          </w:p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по почте;</w:t>
            </w:r>
          </w:p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полномочного представителя;</w:t>
            </w:r>
          </w:p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МФЦ;</w:t>
            </w:r>
          </w:p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>
      <w:pPr>
        <w:tabs>
          <w:tab w:val="left" w:pos="561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РАЗДЕЛ 3 «СВЕДЕНИЯ О ЗАЯВИТЕЛЯХ «ПОДУСЛУГИ»</w:t>
      </w:r>
    </w:p>
    <w:p>
      <w:pPr>
        <w:tabs>
          <w:tab w:val="left" w:pos="5610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>
        <w:trPr>
          <w:trHeight w:hRule="exact" w:val="18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>
        <w:trPr>
          <w:trHeight w:hRule="exact" w:val="209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Должен отвечать требованиям РФ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предъявляемых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данному виду документа;</w:t>
            </w:r>
          </w:p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-Быть действительным на момент подачи заявления;</w:t>
            </w:r>
          </w:p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-отвечать требованиям РФ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предъявляемых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данному виду документа</w:t>
            </w:r>
          </w:p>
        </w:tc>
      </w:tr>
      <w:tr>
        <w:trPr>
          <w:trHeight w:hRule="exact" w:val="21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Должен отвечать требованиям РФ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предъявляемых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Быть действительным на момент подачи заявления;</w:t>
            </w:r>
          </w:p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отвечать требованиям РФ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предъявляемых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данному виду документа</w:t>
            </w:r>
          </w:p>
        </w:tc>
      </w:tr>
    </w:tbl>
    <w:p>
      <w:pPr>
        <w:tabs>
          <w:tab w:val="left" w:pos="5610"/>
        </w:tabs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tabs>
          <w:tab w:val="left" w:pos="5610"/>
        </w:tabs>
        <w:jc w:val="center"/>
        <w:rPr>
          <w:rFonts w:ascii="Times New Roman" w:hAnsi="Times New Roman" w:cs="Times New Roman"/>
          <w:sz w:val="20"/>
          <w:szCs w:val="20"/>
        </w:rPr>
      </w:pPr>
      <w:bookmarkStart w:id="1" w:name="bookmark4"/>
      <w:r>
        <w:rPr>
          <w:rFonts w:ascii="Times New Roman" w:hAnsi="Times New Roman" w:cs="Times New Roman"/>
          <w:sz w:val="20"/>
          <w:szCs w:val="20"/>
        </w:rPr>
        <w:t>РАЗДЕЛ 4 «ДОКУМЕНТЫ, ПРЕДОСТАВЛЯЕМЫЕ ЗАЯВИТЕЛЕМ ДЛЯ ПОЛУЧЕНИЯ «ПОДУСЛУГИ»</w:t>
      </w:r>
      <w:bookmarkEnd w:id="1"/>
    </w:p>
    <w:p>
      <w:pPr>
        <w:tabs>
          <w:tab w:val="left" w:pos="5610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>
        <w:trPr>
          <w:trHeight w:hRule="exact" w:val="15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</w:p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Наименования документов, которые представляет заявитель для получения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Установленные требования к документу</w:t>
            </w:r>
          </w:p>
        </w:tc>
      </w:tr>
      <w:tr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>
        <w:trPr>
          <w:trHeight w:hRule="exact" w:val="101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 Оригинал.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по форме указанной в приложении.</w:t>
            </w:r>
          </w:p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Сведения, указанные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заявлении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подтверждаются подписью лица подавшего заявление, с указанием даты подачи заявления.</w:t>
            </w:r>
          </w:p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hRule="exact" w:val="112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1.Доверенность.</w:t>
            </w:r>
          </w:p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Экз. Подлинник или</w:t>
            </w:r>
          </w:p>
          <w:p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копия заверенная в </w:t>
            </w:r>
          </w:p>
          <w:p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</w:tr>
      <w:tr>
        <w:trPr>
          <w:trHeight w:hRule="exact" w:val="712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(удостоверяющий личность представителя заявителя, если заявление представляется представителем заявителя).</w:t>
            </w:r>
          </w:p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Экз. Копия заверенная в </w:t>
            </w:r>
          </w:p>
          <w:p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>
        <w:trPr>
          <w:trHeight w:hRule="exact" w:val="695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кз. Копия заверенная в установленном порядке.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>
        <w:trPr>
          <w:trHeight w:hRule="exact" w:val="140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исходный земельный участок.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удостоверяющие права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кз. Копия заверенная в установленном порядке.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реализации проектов строительства, реконструкции зданий, строений, инженерных сетей, сооружений, благоустройства территорий, а также копии проектной документации, согласованной и утвержденной в установленном порядке.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>
        <w:trPr>
          <w:trHeight w:hRule="exact" w:val="139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об аварийной ситуации на объектах инженерного обеспечения.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Акт об аварийной ситуации на объектах инженерного обеспечения.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Экз. Подлинник или</w:t>
            </w:r>
          </w:p>
          <w:p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копия заверенная в </w:t>
            </w:r>
          </w:p>
          <w:p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аварийных ситуаций и ликвидации их последствий, требующих безотлагательного проведения ремонтных работ,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составленный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комиссией в составе представителей заказчика и уполномоченных организаций в пределах компетенции.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>
        <w:trPr>
          <w:trHeight w:hRule="exact" w:val="227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Предписание (заключение или результаты замеров освещенности) органов государственного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надзора.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Предписание (заключение или результаты замеров освещенности) органов государственного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санитарно-эпидемиологического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надзора.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Экз. Подлинник или</w:t>
            </w:r>
          </w:p>
          <w:p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копия заверенная в </w:t>
            </w:r>
          </w:p>
          <w:p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целях обеспечения нормативного светового режима в жилых и нежилых помещениях, затененных зелеными насаждениями.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hRule="exact" w:val="184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благоустройства и озеленения, согласованный в установленном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Проект благоустройства и озеленения, согласованный в установленном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Экз. Подлинник или</w:t>
            </w:r>
          </w:p>
          <w:p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копия заверенная в </w:t>
            </w:r>
          </w:p>
          <w:p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необходимости пересадки зеленых насаждений и выполнения требований по компенсационному озеленению.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2" w:name="bookmark6"/>
      <w:r>
        <w:rPr>
          <w:rFonts w:ascii="Times New Roman" w:hAnsi="Times New Roman" w:cs="Times New Roman"/>
          <w:sz w:val="20"/>
          <w:szCs w:val="20"/>
        </w:rPr>
        <w:t xml:space="preserve">РАЗДЕЛ 5 «ДОКУМЕНТЫ И СВЕДЕНИЯ, </w:t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80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запрашиваемого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документа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Перечень и состав сведений, запрашиваемых 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органа</w:t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(организации),</w:t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направляющег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е)</w:t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органа (организации), в адрес которого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SID</w:t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Образец заполнения межведомственного запроса</w:t>
            </w:r>
          </w:p>
        </w:tc>
      </w:tr>
      <w:tr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>
        <w:trPr>
          <w:trHeight w:hRule="exact" w:val="336"/>
        </w:trPr>
        <w:tc>
          <w:tcPr>
            <w:tcW w:w="1512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>
        <w:trPr>
          <w:trHeight w:hRule="exact" w:val="6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3" w:name="bookmark7"/>
    </w:p>
    <w:p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РАЗДЕЛ 6 «РЕЗУЛЬТАТ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«ПОДУСЛУГИ»</w:t>
      </w:r>
      <w:bookmarkEnd w:id="3"/>
    </w:p>
    <w:p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>
        <w:trPr>
          <w:cantSplit/>
          <w:trHeight w:val="2498"/>
        </w:trPr>
        <w:tc>
          <w:tcPr>
            <w:tcW w:w="648" w:type="dxa"/>
            <w:vAlign w:val="center"/>
          </w:tcPr>
          <w:p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49" w:type="dxa"/>
            <w:gridSpan w:val="2"/>
            <w:vMerge w:val="restart"/>
            <w:vAlign w:val="center"/>
          </w:tcPr>
          <w:p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Документ/документы,</w:t>
            </w:r>
          </w:p>
          <w:p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являющиеся</w:t>
            </w:r>
            <w:proofErr w:type="gramEnd"/>
          </w:p>
          <w:p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результатом</w:t>
            </w:r>
          </w:p>
          <w:p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3413" w:type="dxa"/>
            <w:vMerge w:val="restart"/>
            <w:vAlign w:val="center"/>
          </w:tcPr>
          <w:p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58" w:type="dxa"/>
            <w:vMerge w:val="restart"/>
            <w:textDirection w:val="btLr"/>
            <w:vAlign w:val="center"/>
          </w:tcPr>
          <w:p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Характеристика результата (</w:t>
            </w:r>
            <w:proofErr w:type="gramStart"/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положительный</w:t>
            </w:r>
            <w:proofErr w:type="gramEnd"/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/отрицательный)</w:t>
            </w:r>
          </w:p>
        </w:tc>
        <w:tc>
          <w:tcPr>
            <w:tcW w:w="1620" w:type="dxa"/>
            <w:vMerge w:val="restart"/>
            <w:textDirection w:val="btLr"/>
            <w:vAlign w:val="center"/>
          </w:tcPr>
          <w:p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</w:p>
          <w:p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документа/документов,</w:t>
            </w:r>
          </w:p>
          <w:p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являющихся</w:t>
            </w:r>
            <w:proofErr w:type="gramEnd"/>
          </w:p>
          <w:p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результатом</w:t>
            </w:r>
          </w:p>
          <w:p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40" w:type="dxa"/>
            <w:vMerge w:val="restart"/>
            <w:textDirection w:val="btLr"/>
            <w:vAlign w:val="center"/>
          </w:tcPr>
          <w:p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</w:t>
            </w:r>
          </w:p>
          <w:p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документа/документов,</w:t>
            </w:r>
          </w:p>
          <w:p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являющихся</w:t>
            </w:r>
            <w:proofErr w:type="gramEnd"/>
          </w:p>
          <w:p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результатом</w:t>
            </w:r>
          </w:p>
          <w:p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pStyle w:val="a8"/>
              <w:spacing w:line="21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aa"/>
                <w:color w:val="000000"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pStyle w:val="a8"/>
              <w:spacing w:line="264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aa"/>
                <w:color w:val="000000"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>
        <w:tc>
          <w:tcPr>
            <w:tcW w:w="648" w:type="dxa"/>
            <w:vAlign w:val="center"/>
          </w:tcPr>
          <w:p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vMerge/>
            <w:vAlign w:val="center"/>
          </w:tcPr>
          <w:p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3" w:type="dxa"/>
            <w:vMerge/>
            <w:vAlign w:val="center"/>
          </w:tcPr>
          <w:p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vMerge/>
            <w:vAlign w:val="center"/>
          </w:tcPr>
          <w:p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>
            <w:pPr>
              <w:pStyle w:val="a8"/>
              <w:spacing w:line="264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a8"/>
              <w:spacing w:line="21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aa"/>
                <w:color w:val="000000"/>
                <w:sz w:val="20"/>
                <w:szCs w:val="20"/>
              </w:rPr>
              <w:t xml:space="preserve">в </w:t>
            </w:r>
            <w:proofErr w:type="gramStart"/>
            <w:r>
              <w:rPr>
                <w:rStyle w:val="aa"/>
                <w:color w:val="000000"/>
                <w:sz w:val="20"/>
                <w:szCs w:val="20"/>
              </w:rPr>
              <w:t>органе</w:t>
            </w:r>
            <w:proofErr w:type="gramEnd"/>
          </w:p>
        </w:tc>
        <w:tc>
          <w:tcPr>
            <w:tcW w:w="1080" w:type="dxa"/>
            <w:vAlign w:val="center"/>
          </w:tcPr>
          <w:p>
            <w:pPr>
              <w:pStyle w:val="a8"/>
              <w:spacing w:after="60" w:line="21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aa"/>
                <w:color w:val="000000"/>
                <w:sz w:val="20"/>
                <w:szCs w:val="20"/>
              </w:rPr>
              <w:t>в</w:t>
            </w:r>
          </w:p>
          <w:p>
            <w:pPr>
              <w:pStyle w:val="a8"/>
              <w:spacing w:before="60" w:line="21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aa"/>
                <w:color w:val="000000"/>
                <w:sz w:val="20"/>
                <w:szCs w:val="20"/>
              </w:rPr>
              <w:t>МФЦ</w:t>
            </w:r>
          </w:p>
        </w:tc>
      </w:tr>
      <w:tr>
        <w:trPr>
          <w:trHeight w:hRule="exact" w:val="426"/>
        </w:trPr>
        <w:tc>
          <w:tcPr>
            <w:tcW w:w="648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22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8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>
        <w:trPr>
          <w:trHeight w:hRule="exact" w:val="352"/>
        </w:trPr>
        <w:tc>
          <w:tcPr>
            <w:tcW w:w="15408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>
        <w:trPr>
          <w:trHeight w:hRule="exact" w:val="1132"/>
        </w:trPr>
        <w:tc>
          <w:tcPr>
            <w:tcW w:w="648" w:type="dxa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>
            <w:pPr>
              <w:pStyle w:val="ConsPlusNormal"/>
              <w:tabs>
                <w:tab w:val="num" w:pos="142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Выдача </w:t>
            </w:r>
          </w:p>
          <w:p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порубочного билета и (или) разрешения на пересадку деревьев и кустарников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Подписывается главой, регистрируется </w:t>
            </w:r>
          </w:p>
        </w:tc>
        <w:tc>
          <w:tcPr>
            <w:tcW w:w="1258" w:type="dxa"/>
            <w:vAlign w:val="center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440" w:type="dxa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по почте;</w:t>
            </w:r>
          </w:p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полномочного представителя;</w:t>
            </w:r>
          </w:p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МФЦ;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Посто-янно</w:t>
            </w:r>
            <w:proofErr w:type="spellEnd"/>
            <w:proofErr w:type="gramEnd"/>
          </w:p>
        </w:tc>
        <w:tc>
          <w:tcPr>
            <w:tcW w:w="1080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год</w:t>
            </w:r>
          </w:p>
        </w:tc>
      </w:tr>
      <w:tr>
        <w:trPr>
          <w:trHeight w:hRule="exact" w:val="1276"/>
        </w:trPr>
        <w:tc>
          <w:tcPr>
            <w:tcW w:w="648" w:type="dxa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>
            <w:pPr>
              <w:pStyle w:val="a6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Мотивированный отказ в </w:t>
            </w:r>
            <w:proofErr w:type="gramStart"/>
            <w:r>
              <w:rPr>
                <w:sz w:val="20"/>
                <w:szCs w:val="20"/>
              </w:rPr>
              <w:t>предоставлении</w:t>
            </w:r>
            <w:proofErr w:type="gramEnd"/>
            <w:r>
              <w:rPr>
                <w:sz w:val="20"/>
                <w:szCs w:val="20"/>
              </w:rPr>
              <w:t xml:space="preserve"> муниципальной услуги.</w:t>
            </w:r>
          </w:p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  <w:gridSpan w:val="2"/>
            <w:vAlign w:val="center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Подписывается главой, регистрируется </w:t>
            </w:r>
          </w:p>
        </w:tc>
        <w:tc>
          <w:tcPr>
            <w:tcW w:w="1258" w:type="dxa"/>
            <w:vAlign w:val="center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Отрицате-льный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440" w:type="dxa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по почте;</w:t>
            </w:r>
          </w:p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полномочного представителя;</w:t>
            </w:r>
          </w:p>
          <w:p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МФЦ;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5 лет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год</w:t>
            </w:r>
          </w:p>
        </w:tc>
      </w:tr>
    </w:tbl>
    <w:p>
      <w:pPr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РАЗДЕЛ 7 «ТЕХНОЛОГИЧЕСКИЕ ПРОЦЕССЫ ПРЕДОСТАВЛЕНИЯ «ПОДУСЛУГИ»</w:t>
      </w:r>
    </w:p>
    <w:tbl>
      <w:tblPr>
        <w:tblW w:w="1549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2714"/>
        <w:gridCol w:w="6946"/>
        <w:gridCol w:w="1134"/>
        <w:gridCol w:w="1276"/>
        <w:gridCol w:w="1417"/>
        <w:gridCol w:w="1276"/>
      </w:tblGrid>
      <w:tr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a8"/>
              <w:spacing w:after="0"/>
              <w:ind w:left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a"/>
                <w:color w:val="000000"/>
                <w:sz w:val="20"/>
                <w:szCs w:val="20"/>
              </w:rPr>
              <w:t>№</w:t>
            </w:r>
          </w:p>
          <w:p>
            <w:pPr>
              <w:pStyle w:val="a8"/>
              <w:spacing w:after="0"/>
              <w:ind w:left="20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Style w:val="aa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Style w:val="aa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a"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a"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a"/>
                <w:color w:val="000000"/>
                <w:sz w:val="20"/>
                <w:szCs w:val="20"/>
              </w:rPr>
              <w:t>Сроки</w:t>
            </w:r>
          </w:p>
          <w:p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a"/>
                <w:color w:val="000000"/>
                <w:sz w:val="20"/>
                <w:szCs w:val="20"/>
              </w:rPr>
              <w:t>исполнения</w:t>
            </w:r>
          </w:p>
          <w:p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a"/>
                <w:color w:val="000000"/>
                <w:sz w:val="20"/>
                <w:szCs w:val="20"/>
              </w:rPr>
              <w:t>процедуры</w:t>
            </w:r>
          </w:p>
          <w:p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a"/>
                <w:color w:val="000000"/>
                <w:sz w:val="20"/>
                <w:szCs w:val="20"/>
              </w:rPr>
              <w:t>(процесса)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a"/>
                <w:color w:val="000000"/>
                <w:sz w:val="20"/>
                <w:szCs w:val="20"/>
              </w:rPr>
              <w:t>Исполнитель</w:t>
            </w:r>
          </w:p>
          <w:p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a"/>
                <w:color w:val="000000"/>
                <w:sz w:val="20"/>
                <w:szCs w:val="20"/>
              </w:rPr>
              <w:t>процедуры</w:t>
            </w:r>
          </w:p>
          <w:p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a"/>
                <w:color w:val="000000"/>
                <w:sz w:val="20"/>
                <w:szCs w:val="20"/>
              </w:rPr>
              <w:t>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a8"/>
              <w:spacing w:after="0"/>
              <w:ind w:righ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a"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a"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a8"/>
              <w:spacing w:after="0"/>
              <w:ind w:left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a"/>
                <w:color w:val="000000"/>
                <w:sz w:val="20"/>
                <w:szCs w:val="20"/>
              </w:rPr>
              <w:t>7</w:t>
            </w:r>
          </w:p>
        </w:tc>
      </w:tr>
      <w:tr>
        <w:trPr>
          <w:trHeight w:hRule="exact" w:val="533"/>
        </w:trPr>
        <w:tc>
          <w:tcPr>
            <w:tcW w:w="15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Подуслуга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>
        <w:trPr>
          <w:trHeight w:hRule="exact" w:val="31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pStyle w:val="a8"/>
              <w:spacing w:after="0"/>
              <w:ind w:left="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pStyle w:val="a8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Проверка документа, удостоверяющего личность заявителя;</w:t>
            </w:r>
          </w:p>
          <w:p>
            <w:pPr>
              <w:pStyle w:val="a8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>
            <w:pPr>
              <w:pStyle w:val="a8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сверка данных представленных документов с данными, указанными в заявлении;</w:t>
            </w:r>
          </w:p>
          <w:p>
            <w:pPr>
              <w:pStyle w:val="a8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сличение копий с подлинниками документа,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заверение копии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документов;</w:t>
            </w:r>
          </w:p>
          <w:p>
            <w:pPr>
              <w:pStyle w:val="a8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регистрация поданного заявления;</w:t>
            </w:r>
          </w:p>
          <w:p>
            <w:pPr>
              <w:pStyle w:val="a8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подготовка и выдача расписки о приеме заявления с документами;</w:t>
            </w:r>
          </w:p>
          <w:p>
            <w:pPr>
              <w:pStyle w:val="a8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информирование заявителя о сроках предоставления муниципальной услуги;</w:t>
            </w:r>
          </w:p>
          <w:p>
            <w:pPr>
              <w:pStyle w:val="a8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передача заявления с документами в администрацию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Заброденского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Калачеевского муниципального района Воронежской области (при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обращении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заявителя в АУ МФЦ).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pStyle w:val="a8"/>
              <w:spacing w:after="0"/>
              <w:ind w:left="1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pStyle w:val="a8"/>
              <w:spacing w:after="0"/>
              <w:ind w:left="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pStyle w:val="a8"/>
              <w:spacing w:after="0"/>
              <w:ind w:left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a8"/>
              <w:spacing w:after="0"/>
              <w:ind w:left="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>
        <w:trPr>
          <w:trHeight w:hRule="exact" w:val="154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pStyle w:val="a8"/>
              <w:spacing w:after="0"/>
              <w:ind w:left="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Рассмотрение представленных документов, истребование документов (сведений)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рамках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межведомственного взаимодействия.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pStyle w:val="a8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>
            <w:pPr>
              <w:pStyle w:val="a8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формирование и направление межведомственных запросов;</w:t>
            </w:r>
          </w:p>
          <w:p>
            <w:pPr>
              <w:pStyle w:val="a8"/>
              <w:spacing w:after="0"/>
              <w:ind w:left="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рассмотрение полученных ответов и принятие решения о предоставлении или отказе в предоставлении муниципальной услуги.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pStyle w:val="a8"/>
              <w:spacing w:after="0"/>
              <w:ind w:left="1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pStyle w:val="a8"/>
              <w:spacing w:after="0"/>
              <w:ind w:left="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pStyle w:val="a8"/>
              <w:spacing w:after="0"/>
              <w:ind w:left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a8"/>
              <w:spacing w:after="0"/>
              <w:ind w:left="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>
        <w:trPr>
          <w:trHeight w:hRule="exact" w:val="18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pStyle w:val="a8"/>
              <w:spacing w:after="0"/>
              <w:ind w:lef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pStyle w:val="a8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pStyle w:val="a8"/>
              <w:spacing w:after="0"/>
              <w:ind w:left="1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pStyle w:val="a8"/>
              <w:spacing w:after="0"/>
              <w:ind w:left="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pStyle w:val="a8"/>
              <w:spacing w:after="0"/>
              <w:ind w:left="4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a8"/>
              <w:spacing w:after="0"/>
              <w:ind w:left="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</w:tbl>
    <w:p>
      <w:pPr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РАЗДЕЛ 8 «ОСОБЕННОСТИ ПРЕДОСТАВЛЕНИЯ «ПОДУСЛУГИ</w:t>
      </w:r>
      <w:proofErr w:type="gramStart"/>
      <w:r>
        <w:rPr>
          <w:rFonts w:ascii="Times New Roman" w:hAnsi="Times New Roman" w:cs="Times New Roman"/>
          <w:sz w:val="20"/>
          <w:szCs w:val="20"/>
        </w:rPr>
        <w:t>»В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ЭЛЕКТРОННОЙ ФОРМЕ»</w:t>
      </w:r>
    </w:p>
    <w:tbl>
      <w:tblPr>
        <w:tblW w:w="151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1440"/>
        <w:gridCol w:w="5220"/>
        <w:gridCol w:w="1800"/>
        <w:gridCol w:w="2160"/>
        <w:gridCol w:w="2756"/>
      </w:tblGrid>
      <w:tr>
        <w:trPr>
          <w:trHeight w:hRule="exact" w:val="2109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a8"/>
              <w:spacing w:after="0"/>
              <w:ind w:left="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a8"/>
              <w:spacing w:after="0"/>
              <w:ind w:right="3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</w:t>
            </w:r>
            <w:proofErr w:type="gramStart"/>
            <w:r>
              <w:rPr>
                <w:rStyle w:val="111"/>
                <w:color w:val="000000"/>
                <w:sz w:val="20"/>
                <w:szCs w:val="20"/>
              </w:rPr>
              <w:t>процессе</w:t>
            </w:r>
            <w:proofErr w:type="gramEnd"/>
            <w:r>
              <w:rPr>
                <w:rStyle w:val="111"/>
                <w:color w:val="000000"/>
                <w:sz w:val="20"/>
                <w:szCs w:val="20"/>
              </w:rPr>
              <w:t xml:space="preserve"> получения " </w:t>
            </w:r>
            <w:proofErr w:type="spellStart"/>
            <w:r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>
        <w:trPr>
          <w:trHeight w:hRule="exact" w:val="302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11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11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11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11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11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11"/>
                <w:color w:val="000000"/>
                <w:sz w:val="20"/>
                <w:szCs w:val="20"/>
              </w:rPr>
              <w:t>6</w:t>
            </w:r>
          </w:p>
        </w:tc>
      </w:tr>
      <w:tr>
        <w:trPr>
          <w:trHeight w:hRule="exact" w:val="298"/>
          <w:jc w:val="center"/>
        </w:trPr>
        <w:tc>
          <w:tcPr>
            <w:tcW w:w="151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a8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11"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Style w:val="111"/>
                <w:color w:val="000000"/>
                <w:sz w:val="20"/>
                <w:szCs w:val="20"/>
              </w:rPr>
              <w:t>Подуслуга</w:t>
            </w:r>
            <w:proofErr w:type="spellEnd"/>
            <w:r>
              <w:rPr>
                <w:rStyle w:val="111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111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Style w:val="111"/>
                <w:color w:val="000000"/>
                <w:sz w:val="20"/>
                <w:szCs w:val="20"/>
              </w:rPr>
              <w:t>1</w:t>
            </w:r>
          </w:p>
        </w:tc>
      </w:tr>
      <w:tr>
        <w:trPr>
          <w:trHeight w:hRule="exact" w:val="3042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 w:right="163"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официальный сайт администрации в сети Интернет </w:t>
            </w:r>
          </w:p>
          <w:p>
            <w:pPr>
              <w:pStyle w:val="a8"/>
              <w:spacing w:after="0"/>
              <w:ind w:left="4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a8"/>
              <w:spacing w:after="0"/>
              <w:ind w:left="102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официальный сайт администрации в сети Интернет 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a8"/>
              <w:spacing w:after="0"/>
              <w:ind w:left="4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>
            <w:pPr>
              <w:pStyle w:val="a8"/>
              <w:spacing w:after="0"/>
              <w:ind w:left="4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официальный сайт администрации в сети Интернет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a8"/>
              <w:tabs>
                <w:tab w:val="left" w:pos="305"/>
              </w:tabs>
              <w:spacing w:after="0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официальный сайт администрации в сети Интернет</w:t>
            </w:r>
          </w:p>
          <w:p>
            <w:pPr>
              <w:pStyle w:val="a8"/>
              <w:tabs>
                <w:tab w:val="left" w:pos="305"/>
              </w:tabs>
              <w:spacing w:after="0"/>
              <w:ind w:left="6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>
      <w:pPr>
        <w:rPr>
          <w:rFonts w:ascii="Times New Roman" w:hAnsi="Times New Roman" w:cs="Times New Roman"/>
          <w:sz w:val="20"/>
          <w:szCs w:val="20"/>
          <w:highlight w:val="yellow"/>
        </w:rPr>
        <w:sectPr>
          <w:pgSz w:w="16838" w:h="11906" w:orient="landscape"/>
          <w:pgMar w:top="567" w:right="1134" w:bottom="284" w:left="1134" w:header="708" w:footer="708" w:gutter="0"/>
          <w:cols w:space="708"/>
          <w:docGrid w:linePitch="360"/>
        </w:sectPr>
      </w:pP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  <w:lastRenderedPageBreak/>
        <w:t xml:space="preserve">Приложение </w:t>
      </w: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  <w:t>к технологической схеме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Главе администрации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поселения город Калач Калачеевского</w:t>
      </w: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муниципального района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 физических лиц</w:t>
      </w: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индивидуальных предпринимателей</w:t>
      </w: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 __________________________________________</w:t>
      </w: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(Ф.И.О.)</w:t>
      </w: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документ, удостоверяющий личность</w:t>
      </w: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</w:t>
      </w: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(серия, №, кем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когда выдан)</w:t>
      </w: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(ей) по адресу: _________________</w:t>
      </w: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</w:t>
      </w: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контактный телефон __________________________</w:t>
      </w: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 юридических лиц</w:t>
      </w: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 __________________________________________</w:t>
      </w: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(наименование, адрес, ОГРН, ИНН)</w:t>
      </w: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</w:t>
      </w:r>
    </w:p>
    <w:p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(контактный телефон)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ЗАЯВЛЕНИЕ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Прошу выдать  порубочный билет  и (или) разрешение на пересадку деревьев и кустарников    (с   указанием   количества,  породного  состава   и причины рубки, обрезки, пересадки, изъятия), расположенных по адресу: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(адрес (местоположение) участка на котором планируется рубка).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Результат услуги прошу представить на бумажном носителе/в электронном виде по адресу электронной почты (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ненужное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зачеркнуть):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(указать адрес электронной почты)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Перечень прилагаемых документов: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"____" __________ 20___ г.                       _________/_______________/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</w:rPr>
        <w:br w:type="page"/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tabs>
          <w:tab w:val="right" w:pos="10206"/>
        </w:tabs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708"/>
        <w:rPr>
          <w:rFonts w:ascii="Times New Roman" w:hAnsi="Times New Roman" w:cs="Times New Roman"/>
        </w:rPr>
      </w:pPr>
    </w:p>
    <w:sectPr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ody Text Indent"/>
    <w:basedOn w:val="a"/>
    <w:link w:val="a7"/>
    <w:uiPriority w:val="99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Pr>
      <w:rFonts w:ascii="Calibri" w:eastAsia="Times New Roman" w:hAnsi="Calibri" w:cs="Calibri"/>
      <w:szCs w:val="20"/>
    </w:rPr>
  </w:style>
  <w:style w:type="paragraph" w:styleId="a8">
    <w:name w:val="Body Text"/>
    <w:basedOn w:val="a"/>
    <w:link w:val="a9"/>
    <w:uiPriority w:val="99"/>
    <w:pPr>
      <w:spacing w:after="120" w:line="240" w:lineRule="auto"/>
    </w:pPr>
    <w:rPr>
      <w:rFonts w:ascii="Courier New" w:eastAsia="Calibri" w:hAnsi="Courier New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Pr>
      <w:rFonts w:ascii="Courier New" w:eastAsia="Calibri" w:hAnsi="Courier New" w:cs="Times New Roman"/>
      <w:sz w:val="24"/>
      <w:szCs w:val="24"/>
      <w:lang w:eastAsia="en-US"/>
    </w:rPr>
  </w:style>
  <w:style w:type="character" w:customStyle="1" w:styleId="aa">
    <w:name w:val="Основной текст + Полужирный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4Exact1">
    <w:name w:val="Основной текст (4) Exact1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111">
    <w:name w:val="Основной текст + 111"/>
    <w:aliases w:val="5 pt1,Полужирный1"/>
    <w:rPr>
      <w:rFonts w:ascii="Times New Roman" w:hAnsi="Times New Roman" w:cs="Times New Roman"/>
      <w:b/>
      <w:bCs/>
      <w:sz w:val="23"/>
      <w:szCs w:val="23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2018-09-20T05:24:00Z</cp:lastPrinted>
  <dcterms:created xsi:type="dcterms:W3CDTF">2016-10-27T14:55:00Z</dcterms:created>
  <dcterms:modified xsi:type="dcterms:W3CDTF">2021-06-16T08:08:00Z</dcterms:modified>
</cp:coreProperties>
</file>